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IKLANBERÉNY KÖZSÉG ÖNKORMÁNYZAT KÉPVISELŐ-TESTÜLETÉNEK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18/2005. (XII.29.) SZÁMÚ RENDELETE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IGAZGATÁSRÓL, AZ EGYES SZOCIÁLIS ELLÁTÁSOKRÓL ÉS A HELYI LAKÁSCÉLÚ TÁMOGATÁSOKRÓL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(EGYSÉGES SZERKEZET)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Iklanberény Község Önkormányzatának Képviselő-testülete a többször módosított 1993. évi III. tv.-ben (továbbiakban: </w:t>
      </w:r>
      <w:proofErr w:type="spell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Sztv</w:t>
      </w:r>
      <w:proofErr w:type="spell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1. § (2) bekezdésében, </w:t>
      </w: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a  10.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(1) bekezdésében, a  32. § (3) bekezdésében és a 92. § (1) bekezdésében kapott felhatalmazás alapján a szociális igazgatásról és az egyes szociális ellátásokról az alábbi rendeletet alkotja: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rendelkezések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célja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1. §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célja, hogy a törvényi felhatalmazással összhangban megállapítsa az önkormányzat által a helyi sajátosságoknak megfelelő, a szociális rászorultságtól függő, pénzben és természetben biztosított szociális ellátások, a személyes gondoskodást nyújtó ellátások formáit, szervezeti kereteit, az eljárási és jogosultsági szabályokat, továbbá azok igénybevételének és érvényesítésének módját feltételeit és garanciáit.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Eljárási rendelkezések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left="72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2.§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(1) 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10.</w:t>
      </w: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rászorultságtól függő pénzbeli és természetbeni ellátások iránti kérelmeket a Büki Közös Önkormányzati Hivatalban (továbbiakban: hivatal) lehet előterjeszteni </w:t>
      </w: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írásban,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szóban.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(2) Sürgős szükség esetén – ha az igénylő életkörülményei az azonnali segítséget indokolják – a támogatás bizonyítási eljárás nélkül, az igénylő nyilatkozata alapján megadható, a bizonyítékok utólagos csatolása mellett, kivéve az Sztv. 93. §-ban foglalt eljárások esetén.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kérelem átvételekor vizsgálni kell azt, hogy a szükséges iratokat a kérelmező csatolta-e, illetve a kérelemből megállapítható-e a kérelem tárgya, illetve a kérelmező adata.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10.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10.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ellátások folyósítása</w:t>
      </w:r>
    </w:p>
    <w:p w:rsidR="008F6C25" w:rsidRPr="008F6C25" w:rsidRDefault="008F6C25" w:rsidP="008F6C25">
      <w:pPr>
        <w:spacing w:after="20" w:line="240" w:lineRule="auto"/>
        <w:ind w:left="72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3.§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10.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ellátásokat postai utalványon, vagy a kérelmező lakossági folyószámlájára utalással, illetve házipénztárból való közvetlen kifizetéssel kell kifizetni</w:t>
      </w:r>
    </w:p>
    <w:p w:rsidR="008F6C25" w:rsidRPr="008F6C25" w:rsidRDefault="008F6C25" w:rsidP="008F6C25">
      <w:pPr>
        <w:spacing w:after="20" w:line="240" w:lineRule="auto"/>
        <w:ind w:left="72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4.§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Azoknál az ellátásoknál, ahol az öregségi nyugdíj legkisebb összegéhez igazodik a megállapított támogatás, s ha az öregségi nyugdíj összege változik, az ellátást automatikusan az új összegnek megfelelően kell folyósítani.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változásokról az érintetteket értesíteni kell.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left="72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5.§</w:t>
      </w:r>
      <w:bookmarkStart w:id="1" w:name="_ftnref_15"/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"http://njt.hu/njtonkorm.php?njtcp=eh9eg0ed9dr8eo1dt2ee1em0cj3bz0cc7ce0bx3cd6cf3p" \l "_ftn_15" \o "" </w:instrTex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F6C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[1]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1"/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</w:p>
    <w:p w:rsidR="008F6C25" w:rsidRPr="008F6C25" w:rsidRDefault="008F6C25" w:rsidP="008F6C25">
      <w:pPr>
        <w:spacing w:after="20" w:line="240" w:lineRule="auto"/>
        <w:ind w:left="72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6.§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</w:p>
    <w:p w:rsidR="008F6C25" w:rsidRPr="008F6C25" w:rsidRDefault="008F6C25" w:rsidP="008F6C25">
      <w:pPr>
        <w:spacing w:after="20" w:line="240" w:lineRule="auto"/>
        <w:ind w:left="72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7.§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8. §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10.13.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left="72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9. §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4. 13.</w:t>
      </w:r>
    </w:p>
    <w:p w:rsidR="008F6C25" w:rsidRPr="008F6C25" w:rsidRDefault="008F6C25" w:rsidP="008F6C2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10. §4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. 13.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10/A. §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4. 13.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11. §4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. 13.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12. §</w:t>
      </w: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8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13. §</w:t>
      </w: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7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 karbantartási támogatás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14. §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képviselő-testülete függetlenül a lakás nagyságától és minőségétől lakás-karbantartási támogatást állapít meg annak, aki önhibáján kívül lakásában kárt szenved (elemi kár, tűzeset, </w:t>
      </w: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csőtörés,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stb.), s akinek a családjában az egy főre eső jövedelem nem haladja meg az öregségi nyugdíj mindenkori legkisebb összegének háromszorosát.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lakás-karbantartási támogatás összege 5.000,- Ft és </w:t>
      </w: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50.000,-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között állapítható meg.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Önhibáján kívül szenved kárt az, aki a kárt nem saját maga, s nem szándékosan okozta.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15. §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14</w:t>
      </w: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 A képviselő-testület vissza nem térítendő támogatásként támogatást állapíthat meg azoknak a fiatal házasoknak, jegyeseknek, élettársaknak, akik a 40 éves kort még nem töltötték be, s lakást építenek, vásárolnak, vagy lakást bővítenek a községben.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támogatás felső határa 100.000,- Ft lehet, kivéve az önkormányzattól vásárolt telekingatlanra történő építkezést, amikor is a támogatás mértéke maximum </w:t>
      </w: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50.000,-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Ft lehet.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támogatásban csak azok </w:t>
      </w: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a  fiatal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párok részesülhetnek, akik az önkormányzat által ilyen célra nyújtott támogatásban még nem részesültek, s erről írásban nyilatkoznak, illetve akik érvényes építési engedéllyel, lakás vásárlása esetén adás-vételi szerződéssel rendelkeznek, mely adás-vételi szerződés nem közeli hozzátartozók között jött létre.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támogatás megállapítása önkormányzati hatósági ügynek minősül.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14</w:t>
      </w: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 A támogatás azonnal egy összegben visszafizetendő – a jegybanki alapkamat mértékének megfelelő késedelmi kamattal együtt, amely a felszólítás kézhezvételétől esedékes - amennyiben a támogatott: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  a támogatást </w:t>
      </w:r>
      <w:proofErr w:type="spell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jogosulatlanul</w:t>
      </w:r>
      <w:proofErr w:type="spell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vette igénybe,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b) a támogatással létesített vagy megvásárolt lakást a jogerős használatbavételi engedély keltétől vagy az adásvételi szerződés megkötésétől számított öt éven belül elidegeníti és a vételárat nem Iklanberény község területén fordítja lakásszerzésre vagy lakásépítésre,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c) a támogatással létesített vagy megvásárolt lakást a jogerős használatbavételi engedély keltétől vagy az adásvételi szerződés megkötésétől számított öt éven belül nem házastársa vagy gyermeke részére ajándékozza el.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támogatás egy részének vagy egészének visszafizetése alól különös méltánylást érdemlő esetben az adóst mentesítheti. Nincs helye </w:t>
      </w:r>
      <w:proofErr w:type="spell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méltányosságnak</w:t>
      </w:r>
      <w:proofErr w:type="spell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 rosszhiszemű, jogtalan igénybevétele miatti visszatérítés esetén.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Ápolási díj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16. §1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17. §1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18. §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13.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left="36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támogatás 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13.</w:t>
      </w:r>
    </w:p>
    <w:p w:rsidR="008F6C25" w:rsidRPr="008F6C25" w:rsidRDefault="008F6C25" w:rsidP="008F6C25">
      <w:pPr>
        <w:spacing w:after="20" w:line="240" w:lineRule="auto"/>
        <w:ind w:left="36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19. § 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13.</w:t>
      </w:r>
    </w:p>
    <w:p w:rsidR="008F6C25" w:rsidRPr="008F6C25" w:rsidRDefault="008F6C25" w:rsidP="008F6C25">
      <w:pPr>
        <w:spacing w:after="20" w:line="240" w:lineRule="auto"/>
        <w:ind w:left="36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(1) Rendkívüli települési támogatásban részesíthetők kérelemre vagy hivatalból azok, akik önmaguk, illetve családjuk létfenntartásáról más módon nem tudnak gondoskodni, vagy alkalmanként jelentkező többletkiadásuk miatt anyagi segítségre szorulnak és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a) akinek családjában az egy főre jutó jövedelem legfeljebb az öregségi nyugdíj mindenkori legkisebb összegének 150%-a vagy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b) egyedülálló személy esetén jövedelme az öregségi nyugdíj mindenkori legkisebb összegének legfeljebb 200%-a.</w:t>
      </w:r>
    </w:p>
    <w:p w:rsidR="008F6C25" w:rsidRPr="008F6C25" w:rsidRDefault="008F6C25" w:rsidP="008F6C25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" w:eastAsia="Times New Roman" w:hAnsi="Times" w:cs="Times"/>
          <w:sz w:val="24"/>
          <w:szCs w:val="24"/>
          <w:lang w:eastAsia="hu-HU"/>
        </w:rPr>
        <w:lastRenderedPageBreak/>
        <w:t>(1a)</w:t>
      </w:r>
      <w:r w:rsidRPr="008F6C25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t>18,19,20,21 </w:t>
      </w: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mindenkori hulladékgazdálkodási közszolgáltatási díj és a közüzemi költségek megfizetéséhez az önkormányzat egyszeri rendkívüli települési támogatást nyújt azon </w:t>
      </w:r>
      <w:proofErr w:type="spell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iklanberényi</w:t>
      </w:r>
      <w:proofErr w:type="spell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lakóhellyel vagy tartózkodási hellyel rendelkező magánszemély részére, akit a vonatkozó jogszabályok alapján díjfizetési kötelezettség terhel és akinek családjában az egy főre jutó jövedelem legfeljebb az öregségi nyugdíj mindenkori legkisebb összegének hatszorosa. A kérelmet a rendelet 3. melléklete szerinti nyomtatványon kell kérelmezni.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rendkívüli települési támogatás évente négy esetben adható folyamatosan, illetőleg külön-külön. Az egy alkalommal nyújtott segély legmagasabb összege az öregségi nyugdíj mindenkori legkisebb összegének 100 %-át nem haladhatja meg, de legalább 1000,-Ft. Az egy naptári éven belül megállapított települési támogatások együttes mértéke nem haladhatja meg az öregségi nyugdíj mindenkori legkisebb összegének 200%-át. Az eseti támogatásként nyújtott települési támogatás iránti kérelemhez mellékelni kell a többletkiadásokat hitelt érdemlően bizonyító dokumentumokat. Amennyiben azok a kérelem benyújtásakor nem állnak rendelkezésre, a Szt. 17.§ (1) bekezdésében foglaltakra figyelemmel utólagos elszámolási kötelezettséget kell előírni.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(2) bekezdéstől eltérően az elhunyt személy eltemettetésének költségeihez való hozzájárulásként megállapított rendkívüli települési támogatás - mivel a helyben szokásos legolcsóbb temetési költség: 285.000,-Ft - összege: </w:t>
      </w: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28.500,-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Ft.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15 16</w:t>
      </w: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települési támogatás és rendkívüli települési támogatás iránti kérelmet a rendelet 3. melléklete szerinti nyomtatványon kell benyújtani és arról a polgármester dönt.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rendeletben meghatározott települési támogatások felhasználásának ellenőrzését a jegyző végzi.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7)Az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ellenőrzés keretében a jegyző írásban felhívja az ellátásban részesülőt, hogy a települési támogatás kérelemben megjelölt célra történő felhasználását a felhívás kézhezvételét követő 15 napon belül igazolja.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(8) A (7) bekezdésben meghatározott igazolás módja lehet különösen: a jogosult nevére szóló számla, az árucikk nevét is tartalmazó nyugta, közüzemi díj befizetéséről szóló csekkszelvény Hivatalnál bemutatása.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(9)22 Amennyiben a települési támogatás összege a 50.000.-Ft-ot nem haladja meg, a települési támogatás felhasználását a jogosult büntetőjogi és anyagi felelőssége tudatában tett, teljes bizonyító </w:t>
      </w:r>
      <w:proofErr w:type="spell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erejű</w:t>
      </w:r>
      <w:proofErr w:type="spell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magánokirattal is igazolhatja.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(10) A támogatásban részesülő személy köteles a támogatás felhasználásának ellenőrzésében együttműködni.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                                                                                   19/A.§22</w:t>
      </w:r>
    </w:p>
    <w:p w:rsidR="008F6C25" w:rsidRPr="008F6C25" w:rsidRDefault="008F6C25" w:rsidP="008F6C25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kérelemre gyógyászati segédeszköz megvásárlásának támogatására támogatást nyújthat, azon </w:t>
      </w:r>
      <w:proofErr w:type="spell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iklanberényi</w:t>
      </w:r>
      <w:proofErr w:type="spell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lakóhellyel vagy tartózkodási hellyel rendelkező magánszemély részére, akinek családjában az egy főre jutó jövedelem legfeljebb az öregségi nyugdíj mindenkori legkisebb összegének hatszorosa. A kérelmet a rendelet 3. melléklete szerinti nyomtatványon kell benyújtani, és mellékelni kell a segédeszközre vonatkozó orvosi javaslatot.</w:t>
      </w:r>
    </w:p>
    <w:p w:rsidR="008F6C25" w:rsidRPr="008F6C25" w:rsidRDefault="008F6C25" w:rsidP="008F6C25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" w:eastAsia="Times New Roman" w:hAnsi="Times" w:cs="Times"/>
          <w:sz w:val="24"/>
          <w:szCs w:val="24"/>
          <w:lang w:eastAsia="hu-HU"/>
        </w:rPr>
        <w:t>(2) A támogatás felhasználásának ellenőrzését a jegyző végzi. Az ellenőrzés keretében a jegyző írásban felhívja az ellátásban részesülőt, hogy a támogatás kérelemben megjelölt célra történő felhasználását a felhívás kézhezvételét követő 15 napon belül igazolja.</w:t>
      </w:r>
    </w:p>
    <w:p w:rsidR="008F6C25" w:rsidRPr="008F6C25" w:rsidRDefault="008F6C25" w:rsidP="008F6C25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" w:eastAsia="Times New Roman" w:hAnsi="Times" w:cs="Times"/>
          <w:sz w:val="24"/>
          <w:szCs w:val="24"/>
          <w:lang w:eastAsia="hu-HU"/>
        </w:rPr>
        <w:t xml:space="preserve">(3) A (2) bekezdésben meghatározott igazolás módja lehet különösen: a jogosult nevére szóló számla, az árucikk nevét is tartalmazó </w:t>
      </w:r>
      <w:proofErr w:type="gramStart"/>
      <w:r w:rsidRPr="008F6C25">
        <w:rPr>
          <w:rFonts w:ascii="Times" w:eastAsia="Times New Roman" w:hAnsi="Times" w:cs="Times"/>
          <w:sz w:val="24"/>
          <w:szCs w:val="24"/>
          <w:lang w:eastAsia="hu-HU"/>
        </w:rPr>
        <w:t>nyugta,  csekkszelvény</w:t>
      </w:r>
      <w:proofErr w:type="gramEnd"/>
      <w:r w:rsidRPr="008F6C25">
        <w:rPr>
          <w:rFonts w:ascii="Times" w:eastAsia="Times New Roman" w:hAnsi="Times" w:cs="Times"/>
          <w:sz w:val="24"/>
          <w:szCs w:val="24"/>
          <w:lang w:eastAsia="hu-HU"/>
        </w:rPr>
        <w:t xml:space="preserve"> Hivatalnál bemutatása.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" w:eastAsia="Times New Roman" w:hAnsi="Times" w:cs="Times"/>
          <w:sz w:val="24"/>
          <w:szCs w:val="24"/>
          <w:lang w:eastAsia="hu-HU"/>
        </w:rPr>
        <w:lastRenderedPageBreak/>
        <w:t>(4) A támogatásban részesülő személy köteles a támogatás felhasználásának ellenőrzésében együttműködni.</w:t>
      </w:r>
    </w:p>
    <w:p w:rsidR="008F6C25" w:rsidRPr="008F6C25" w:rsidRDefault="008F6C25" w:rsidP="008F6C25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20. §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 </w:t>
      </w: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11. 13. </w:t>
      </w: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8F6C25">
        <w:rPr>
          <w:rFonts w:ascii="Times New Roman" w:eastAsia="Times New Roman" w:hAnsi="Times New Roman" w:cs="Times New Roman"/>
          <w:sz w:val="16"/>
          <w:szCs w:val="16"/>
          <w:lang w:eastAsia="hu-HU"/>
        </w:rPr>
        <w:t>17. </w:t>
      </w: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Képviselő-testülettől kapott átruházott hatáskörben a polgármester az öt éjszakát elérő kórházi gyógykezelés esetén, évente egy alkalommal 20.000 forint települési támogatást állapíthat meg.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Gyermek születése esetén </w:t>
      </w: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10.000,-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Ft támogatás állapítható meg.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(1)-(2) bekezdésben meghatározott támogatásokat a polgármester kérelemre vagy hivatalból állapítja meg, ha az egy főre eső jövedelem nem haladja meg az öregségi nyugdíj mindenkori legkisebb összegének a háromszorosát.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21. §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10.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22. §</w:t>
      </w: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6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kamatmentes kölcsön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23. §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évente egy alkalommal váratlan kiadások miatt pénzintézeti tevékenységnek nem minősülő kamatmentes szociális kölcsönben részesítheti azokat, akiknél a családban az egy főre eső jövedelem nem haladja meg az öregségi nyugdíj mindenkori legkisebb összegének 150 %-át, s aki rendelkezik olyan jövedelemforrással, amely biztosítékot jelent a kölcsön visszafizetésére.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kamatmentes szociális kölcsön legmagasabb összege az öregségi nyugdíj legkisebb összegének a tízszerese lehet.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kölcsönben részesülőkkel a polgármester szerződést köt, amely tartalmazza a felhasználás célját, összegét, a fizetés feltételeit, nem fizetés esetén a behajtás módját. A havi részlet legkisebb összege úgy kerül megállapításra, hogy a kölcsön visszafizetése egy éven belül (12 hónap) megtörténjen.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Köztemetés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13.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24/A. §</w:t>
      </w: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3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köztemetésre vonatkozóan az Sztv. 48. §-ban foglaltak az irányadók azzal, hogy a polgármester a köztemetés költségének megtérítése alól akkor mentesítheti az eltemettetésre köteles személyt, ha a család egy főre jutó nettó jövedelme nem haladja meg az öregségi nyugdíj minimumának 150 %-át és az eltemettetésre köteles személynek vagyona nincs.</w:t>
      </w:r>
      <w:bookmarkStart w:id="2" w:name="_ftnref_16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"http://njt.hu/njtonkorm.php?njtcp=eh9eg0ed9dr8eo1dt2ee1em0cj3bz0cc7ce0bx3cd6cf3p" \l "_ftn_16" \o "" </w:instrText>
      </w: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F6C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[2]</w:t>
      </w: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"/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24. §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10.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III.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Természetben nyújtott szociális ellátások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25. §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10. 13.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IV.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szolgáltatások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26. §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10.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étkeztetés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27. §</w:t>
      </w: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3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(1) Étkezésre jogosult az a rászorult személy, aki kora, egészségi állapota, fogyatékossága, betegsége, hajléktalansága miatt önmaga vagy eltartottja részére átmeneti vagy tartós jelleggel a napi egyszeri meleg étkezésről gondoskodni nem tud.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(2) Szociális helyzet alapján rászorultnak tekintendő: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aki nyugdíjas,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akinek rokkantsági foka eléri a 67 %-ot,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 szociális segélyezett,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cselekvőképességet kizáró vagy korlátozó gondnokság alatt áll,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átmeneti, vagy tartós egészségromlása, egészségi állapota, fogyatékossága miatt.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étkezés iránti kérelmeket a képviselő-testülettől kapott átruházott hatáskörében a polgármester bírálja el.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28. §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azonnal hatállyal megszüntetheti, megtagadhatja az étel kiadását, ha az ellátásra jogosult:</w:t>
      </w:r>
    </w:p>
    <w:p w:rsidR="008F6C25" w:rsidRPr="008F6C25" w:rsidRDefault="008F6C25" w:rsidP="008F6C25">
      <w:pPr>
        <w:spacing w:after="20" w:line="240" w:lineRule="auto"/>
        <w:ind w:left="144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-2 hónapot meghaladóan térítési díjat nem fizet,</w:t>
      </w:r>
    </w:p>
    <w:p w:rsidR="008F6C25" w:rsidRPr="008F6C25" w:rsidRDefault="008F6C25" w:rsidP="008F6C25">
      <w:pPr>
        <w:spacing w:after="20" w:line="240" w:lineRule="auto"/>
        <w:ind w:left="144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-ha egészségi állapotában változás következik be, s ezt a háziorvos igazolja</w:t>
      </w:r>
    </w:p>
    <w:p w:rsidR="008F6C25" w:rsidRPr="008F6C25" w:rsidRDefault="008F6C25" w:rsidP="008F6C25">
      <w:pPr>
        <w:spacing w:after="20" w:line="240" w:lineRule="auto"/>
        <w:ind w:left="144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-szociális helyzete változik.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29. §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szociális étkeztetésért személyi térítési díjat köteles fizetni az </w:t>
      </w:r>
      <w:proofErr w:type="spell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igénybevevő</w:t>
      </w:r>
      <w:proofErr w:type="spell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díj megállapításánál az </w:t>
      </w:r>
      <w:proofErr w:type="spell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igénybevevő</w:t>
      </w:r>
      <w:proofErr w:type="spell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rendszeres havi jövedelme vehető figyelembe. A térítési díjakat a 2. sz. melléklet tartalmazza.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étkeztetésért fizetendő személyi térítési díj, amely az élelmezési térítési díj és az igénybe vett étkezések számának a szorzata – nem haladhatja meg az ellátást igénybe vevő rendszeres havi jövedelmének a 25 %-át.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Záró rendelkezések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30. §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(1) Ez a rendelet 2006. január 1-jén lép hatályba.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rendeletben nem szabályozott kérdésekben „A szociális igazgatásról és a szociális ellátásokról” szóló többször módosított 1993. évi III. tv., valamint Az egyes pénzbeli szociális ellátások folyósításának és elszámolásának szabályairól szóló 30/1993. (II.17.) Korm. Rendelet, valamint a Gyermeknevelési támogatás megállapításának részletes szabályairól, valamint a szociális ellátások igényléséhez felhasználható bizonyítékokról szóló 32/1993. (II.17.) Korm. rendelet rendelkezései az irányadók.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rendelet hatálybalépésével egyidejűleg hatályát veszti: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Iklanberény Község Önkormányzat Képviselő-testületének 4/2000. (IV.27.) sz. rendelete, valamint az azt módosító 6/2000. (VII.11.) 2/2001. (</w:t>
      </w: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II.15..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), 2/2003. (II.24.), 9/2003. (VIII.11.), a 21/2003.(XII.15.) az 5/2004.(VI.26.) számú, valamint az 1/2005.(I.13.) és a 10/2005.(VIII.30.) számú önkormányzati rendelete.</w:t>
      </w:r>
    </w:p>
    <w:p w:rsidR="008F6C25" w:rsidRPr="008F6C25" w:rsidRDefault="008F6C25" w:rsidP="008F6C2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Iklanberény, 2005. december 29.</w:t>
      </w:r>
    </w:p>
    <w:p w:rsidR="008F6C25" w:rsidRPr="008F6C25" w:rsidRDefault="008F6C25" w:rsidP="008F6C2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Mészárosné Nagy Mária </w:t>
      </w:r>
      <w:proofErr w:type="spell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 Udvardy Zita </w:t>
      </w:r>
      <w:proofErr w:type="spell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</w:p>
    <w:p w:rsidR="008F6C25" w:rsidRPr="008F6C25" w:rsidRDefault="008F6C25" w:rsidP="008F6C2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polgármester                                                                          h. körjegyző</w:t>
      </w:r>
    </w:p>
    <w:p w:rsidR="008F6C25" w:rsidRPr="008F6C25" w:rsidRDefault="008F6C25" w:rsidP="008F6C2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  Megállapította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15/2006. (XII.28.) önkormányzati rendelet, hatályos 2007. január 1. 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2  Megállapította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5/2007. (VIII.09.) önkormányzati rendelet, hatályos 2007. augusztus 9. 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3  Megállapította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13/2007. (VIII.13.) önkormányzati rendelet, hatályos 2008. január 1. 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4. Megállapította a 4/2009. (III.19.) önkormányzati rendelet, hatályos 2009. március 19. 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5. Megállapította a 6/2009. (V.15.) önkormányzati rendelet, hatályos 2009. május 15. 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6. Megállapította a 6/2011. (IV.15.) önkormányzati rendelet, hatályos 2011.április 15. 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7. Megállapította a 11/2011. (IX.15.) önkormányzati rendelet, hatályos 2011. szeptember 1. 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8. Megállapította a 2/2012. (II.12.) önkormányzati rendelet, hatályos 2012. február 12. 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9. Megállapította a 3/2013. (II.18.) önkormányzati rendelet, hatályos 2013. március 1. 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10. Megállapította a 10/2013. (XII.21.) önkormányzati rendelet, hatályos 2014. január 1. 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11. Megállapította a 4/2014. (III. 11.) önkormányzati rendelet, hatályos 2014. április 1. 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12. Megállapította a 12/2014. (XII. 17.) önkormányzati rendelet, hatályos 2014. december 18. 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13. Megállapította a 4/2015. (II. 27.) önkormányzati rendelet, hatályos 2015. március 1. 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14. Megállapította a 2/2016. (II. 1.) önkormányzati rendelet, hatályos 2016. február 2. 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15. Megállapította a 10/2016. (IX. 23.) önkormányzati rendelet, hatályos 2016. november 24. napjától.</w:t>
      </w:r>
    </w:p>
    <w:p w:rsidR="008F6C25" w:rsidRPr="008F6C25" w:rsidRDefault="008F6C25" w:rsidP="008F6C25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16. Megállapította az 1/2017. (I. 9.) önkormányzati rendelet, hatályos 2017. január 10.  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17. Megállapította az 5/2017. (II. 13.) önkormányzati rendelet, hatályos 2017.február 14.  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18. Megállapította az 14/2017. (IX. 28.) önkormányzati rendelet, hatályos 2017. szeptember 29.  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" w:eastAsia="Times New Roman" w:hAnsi="Times" w:cs="Times"/>
          <w:sz w:val="24"/>
          <w:szCs w:val="24"/>
          <w:lang w:eastAsia="hu-HU"/>
        </w:rPr>
        <w:t>19. Megállapította az 15/2017. (XI. 28.) önkormányzati rendelet, hatályos 2017. november 29.  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" w:eastAsia="Times New Roman" w:hAnsi="Times" w:cs="Times"/>
          <w:sz w:val="24"/>
          <w:szCs w:val="24"/>
          <w:lang w:eastAsia="hu-HU"/>
        </w:rPr>
        <w:t>20. Megállapította: az 4/2018. (V. 30.) önkormányzati rendelet, hatályos 2018. május 31.  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" w:eastAsia="Times New Roman" w:hAnsi="Times" w:cs="Times"/>
          <w:sz w:val="24"/>
          <w:szCs w:val="24"/>
          <w:lang w:eastAsia="hu-HU"/>
        </w:rPr>
        <w:t>21. Megállapította: az 9/2018. (X. 29.) önkormányzati rendelet, hatályos 2018. október 30.  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" w:eastAsia="Times New Roman" w:hAnsi="Times" w:cs="Times"/>
          <w:sz w:val="24"/>
          <w:szCs w:val="24"/>
          <w:lang w:eastAsia="hu-HU"/>
        </w:rPr>
        <w:t>22. Megállapította: az 6/2019. (VII. 18.) önkormányzati rendelet, hatályos 2019. július 19.  napjától.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14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2. melléklet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14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3. melléklet </w:t>
      </w:r>
      <w:r w:rsidRPr="008F6C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10. 13.</w:t>
      </w:r>
    </w:p>
    <w:p w:rsidR="008F6C25" w:rsidRPr="008F6C25" w:rsidRDefault="008F6C25" w:rsidP="008F6C25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szociális ellátásokról és a helyi lakáscélú támogatásokról szóló 18/2005. (XII.29.) önkormányzati rendelethez</w:t>
      </w:r>
    </w:p>
    <w:p w:rsidR="008F6C25" w:rsidRPr="008F6C25" w:rsidRDefault="008F6C25" w:rsidP="008F6C25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:rsidR="008F6C25" w:rsidRPr="008F6C25" w:rsidRDefault="008F6C25" w:rsidP="008F6C2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települési támogatás megállapítása iránt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1. A kérelmező személyes adatai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Neve: ............................................................................................................................................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Születési neve: 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Anyja neve: 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Születési hely, év, hó, nap: 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Lakóhely: ....................................................................................................................................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Tartózkodási hely: 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A kérelmezővel közös háztartásban élők </w:t>
      </w:r>
      <w:proofErr w:type="gramStart"/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száma:.......</w:t>
      </w:r>
      <w:proofErr w:type="gramEnd"/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fő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kérelmezővel közös háztartásban élők személyi adatai: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2253"/>
        <w:gridCol w:w="2215"/>
        <w:gridCol w:w="2276"/>
      </w:tblGrid>
      <w:tr w:rsidR="008F6C25" w:rsidRPr="008F6C25" w:rsidTr="008F6C2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név/születési név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hely év, hó, nap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rokonsági fok</w:t>
            </w:r>
          </w:p>
        </w:tc>
      </w:tr>
      <w:tr w:rsidR="008F6C25" w:rsidRPr="008F6C25" w:rsidTr="008F6C2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6C25" w:rsidRPr="008F6C25" w:rsidTr="008F6C2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6C25" w:rsidRPr="008F6C25" w:rsidTr="008F6C2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6C25" w:rsidRPr="008F6C25" w:rsidTr="008F6C2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6C25" w:rsidRPr="008F6C25" w:rsidTr="008F6C2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Jövedelmi adatok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1363"/>
        <w:gridCol w:w="1141"/>
        <w:gridCol w:w="1130"/>
        <w:gridCol w:w="1120"/>
        <w:gridCol w:w="1113"/>
        <w:gridCol w:w="1118"/>
      </w:tblGrid>
      <w:tr w:rsidR="008F6C25" w:rsidRPr="008F6C25" w:rsidTr="008F6C25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jövedelem típusa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kérelmező</w:t>
            </w:r>
          </w:p>
        </w:tc>
        <w:tc>
          <w:tcPr>
            <w:tcW w:w="6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közös háztartásban élő személyek</w:t>
            </w:r>
          </w:p>
        </w:tc>
      </w:tr>
      <w:tr w:rsidR="008F6C25" w:rsidRPr="008F6C25" w:rsidTr="008F6C25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munkaviszonyból, foglalkoztatási jogviszonyból származó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6C25" w:rsidRPr="008F6C25" w:rsidTr="008F6C25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6C25" w:rsidRPr="008F6C25" w:rsidTr="008F6C25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alkalmi munkavégzésből származó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6C25" w:rsidRPr="008F6C25" w:rsidTr="008F6C25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táppénz, gyed, gyes, </w:t>
            </w:r>
            <w:proofErr w:type="spellStart"/>
            <w:r w:rsidRPr="008F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gyet</w:t>
            </w:r>
            <w:proofErr w:type="spellEnd"/>
            <w:r w:rsidRPr="008F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családi pótlék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6C25" w:rsidRPr="008F6C25" w:rsidTr="008F6C25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6C25" w:rsidRPr="008F6C25" w:rsidTr="008F6C25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önkormányzat és munkaügyi szervek által folyósított ellátások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6C25" w:rsidRPr="008F6C25" w:rsidTr="008F6C25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6C25" w:rsidRPr="008F6C25" w:rsidTr="008F6C25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Vagyoni helyzet: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kérelmező és a vele </w:t>
      </w:r>
      <w:proofErr w:type="spell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együttélő</w:t>
      </w:r>
      <w:proofErr w:type="spell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közeli hozzátartozójának vagyona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A. Ingatlanok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Lakástulajdon és lakótelek-tulajdon (vagy állandó, illetve tartós használat): címe: ................. város/község ................... út/utca.................... </w:t>
      </w:r>
      <w:proofErr w:type="spell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m2, tulajdoni hányad: ..........................., a szerzés ideje: ................ év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érték:*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 Ft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Haszonélvezeti joggal terhelt: igen   nem (a megfelelő aláhúzandó)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m2, tulajdoni hányad: ...................., a szerzés ideje: ................ év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érték:*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 Ft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m2, tulajdoni hányad: ................., a szerzés ideje: ................ év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érték:*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 Ft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m2, tulajdoni hányad: ...................., a szerzés ideje: ................ év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érték:*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 Ft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B) Egyéb vagyontárgyak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Gépjármű: '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a) személygépkocsi: ......................................... típus .................. rendszám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ideje: 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érték:*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* .......................................... Ft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b) tehergépjármű, autóbusz: .............................. típus .................. rendszám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ideje: 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érték:*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* .......................................... Ft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Megjegyzés: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35"/>
        <w:gridCol w:w="534"/>
        <w:gridCol w:w="534"/>
        <w:gridCol w:w="534"/>
        <w:gridCol w:w="534"/>
        <w:gridCol w:w="534"/>
        <w:gridCol w:w="533"/>
        <w:gridCol w:w="533"/>
        <w:gridCol w:w="533"/>
        <w:gridCol w:w="533"/>
        <w:gridCol w:w="533"/>
        <w:gridCol w:w="533"/>
        <w:gridCol w:w="532"/>
        <w:gridCol w:w="532"/>
        <w:gridCol w:w="532"/>
        <w:gridCol w:w="532"/>
        <w:gridCol w:w="6"/>
      </w:tblGrid>
      <w:tr w:rsidR="008F6C25" w:rsidRPr="008F6C25" w:rsidTr="008F6C25">
        <w:trPr>
          <w:tblCellSpacing w:w="0" w:type="dxa"/>
        </w:trPr>
        <w:tc>
          <w:tcPr>
            <w:tcW w:w="570" w:type="dxa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6C25" w:rsidRPr="008F6C25" w:rsidTr="008F6C25">
        <w:trPr>
          <w:tblCellSpacing w:w="0" w:type="dxa"/>
        </w:trPr>
        <w:tc>
          <w:tcPr>
            <w:tcW w:w="9645" w:type="dxa"/>
            <w:gridSpan w:val="18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6C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* Becsült forgalmi értékként az ingatlannak a településen szokásos forgalmi értékét kell feltüntetni.</w:t>
            </w:r>
          </w:p>
        </w:tc>
      </w:tr>
      <w:tr w:rsidR="008F6C25" w:rsidRPr="008F6C25" w:rsidTr="008F6C25">
        <w:trPr>
          <w:tblCellSpacing w:w="0" w:type="dxa"/>
        </w:trPr>
        <w:tc>
          <w:tcPr>
            <w:tcW w:w="9645" w:type="dxa"/>
            <w:gridSpan w:val="18"/>
            <w:vAlign w:val="center"/>
            <w:hideMark/>
          </w:tcPr>
          <w:p w:rsidR="008F6C25" w:rsidRPr="008F6C25" w:rsidRDefault="008F6C25" w:rsidP="008F6C25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6C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** Becsült forgalmi értékként a jármű kora és állapota szerinti értékét kell feltüntetni.</w:t>
            </w:r>
          </w:p>
        </w:tc>
      </w:tr>
    </w:tbl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A rendkívüli élethelyzet, amelyre tekintettel a települési támogatást kéri: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.......................................................................................................................................................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Az elhunyt személyes adatai: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Neve: ............................................................................................................................................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Születési neve: 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Anyja neve: 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Születési hely, év, hó, nap: 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Lakóhely: ....................................................................................................................................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Tartózkodási hely: 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Tájékoztató: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kérelmezőnek az egy főre jutó jövedelmet igazolnia kell: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- A családban élők jövedelmének igazolása a jövedelem típusának megfelelő irattal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(pl. munkáltatói igazolás) történik.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- A szociális igazgatásról és szociális ellátásokról szóló 1993. évi III. törvény 10.§ szerint: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"(2) A jogosultság megállapításakor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a) a </w:t>
      </w: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havi rendszerességgel járó</w:t>
      </w: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 - nem vállalkozásból, illetve őstermelői tevékenységből (a továbbiakban együtt: vállalkozás) származó - </w:t>
      </w: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jövedelem esetén a kérelem benyújtását megelőző hónap jövedelmét,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b) a </w:t>
      </w: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havi</w:t>
      </w: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 rendszerességgel szerzett, illetve vállalkozásból származó jövedelem esetén a kérelem </w:t>
      </w: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benyújtásának hónapját közvetlenül megelőző tizenkét hónap alatt szerzett jövedelem egyhavi átlagát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kell figyelembe venni, azzal, hogy a b) pont szerinti számításnál azon hónapoknál, amelyek adóbevallással már lezárt időszakra esnek, a jövedelmet a bevallott éves jövedelemnek e hónapokkal arányos összegében kell beszámítani.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A kérelemhez a </w:t>
      </w:r>
      <w:r w:rsidRPr="008F6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halotti anyakönyvi kivonatot</w:t>
      </w: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 kell csatolni, ha elhunyt személy eltemettetésének költségeihez való hozzájárulásként kérik.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kérelmező kijelentem, hogy a közölt adatok a valóságnak megfelelnek. Tudomásul veszem, hogy a </w:t>
      </w:r>
      <w:proofErr w:type="spell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jogosulatlanul</w:t>
      </w:r>
      <w:proofErr w:type="spell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rosszhiszeműen felvett ellátást jogszabályban meghatározott módon vissza kell térítenem.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Iklanberény, ...........év.......................</w:t>
      </w:r>
      <w:proofErr w:type="gramStart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hó....</w:t>
      </w:r>
      <w:proofErr w:type="gramEnd"/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.nap.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 ....................................................................</w:t>
      </w:r>
    </w:p>
    <w:p w:rsidR="008F6C25" w:rsidRPr="008F6C25" w:rsidRDefault="008F6C25" w:rsidP="008F6C25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C2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            kérelmező</w:t>
      </w:r>
    </w:p>
    <w:p w:rsidR="00F418EB" w:rsidRDefault="00F418EB"/>
    <w:sectPr w:rsidR="00F418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C25" w:rsidRDefault="008F6C25" w:rsidP="008F6C25">
      <w:pPr>
        <w:spacing w:after="0" w:line="240" w:lineRule="auto"/>
      </w:pPr>
      <w:r>
        <w:separator/>
      </w:r>
    </w:p>
  </w:endnote>
  <w:endnote w:type="continuationSeparator" w:id="0">
    <w:p w:rsidR="008F6C25" w:rsidRDefault="008F6C25" w:rsidP="008F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7133857"/>
      <w:docPartObj>
        <w:docPartGallery w:val="Page Numbers (Bottom of Page)"/>
        <w:docPartUnique/>
      </w:docPartObj>
    </w:sdtPr>
    <w:sdtContent>
      <w:p w:rsidR="008F6C25" w:rsidRDefault="008F6C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F6C25" w:rsidRDefault="008F6C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C25" w:rsidRDefault="008F6C25" w:rsidP="008F6C25">
      <w:pPr>
        <w:spacing w:after="0" w:line="240" w:lineRule="auto"/>
      </w:pPr>
      <w:r>
        <w:separator/>
      </w:r>
    </w:p>
  </w:footnote>
  <w:footnote w:type="continuationSeparator" w:id="0">
    <w:p w:rsidR="008F6C25" w:rsidRDefault="008F6C25" w:rsidP="008F6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25"/>
    <w:rsid w:val="00282872"/>
    <w:rsid w:val="008F6C25"/>
    <w:rsid w:val="00F4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B8A02-B432-415B-A5C4-7C885BE3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6C25"/>
  </w:style>
  <w:style w:type="paragraph" w:styleId="llb">
    <w:name w:val="footer"/>
    <w:basedOn w:val="Norml"/>
    <w:link w:val="llbChar"/>
    <w:uiPriority w:val="99"/>
    <w:unhideWhenUsed/>
    <w:rsid w:val="008F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419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31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3221</Words>
  <Characters>22230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Ágnes</cp:lastModifiedBy>
  <cp:revision>2</cp:revision>
  <dcterms:created xsi:type="dcterms:W3CDTF">2019-07-22T10:08:00Z</dcterms:created>
  <dcterms:modified xsi:type="dcterms:W3CDTF">2019-07-22T10:09:00Z</dcterms:modified>
</cp:coreProperties>
</file>